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BEDRIJFSNOODPLAN</w:t>
      </w:r>
    </w:p>
    <w:p/>
    <w:p/>
    <w:p>
      <w:r>
        <w:rPr>
          <w:b/>
          <w:sz w:val="24"/>
        </w:rPr>
        <w:t>1. Inleiding</w:t>
      </w:r>
    </w:p>
    <w:p>
      <w:r>
        <w:rPr>
          <w:b w:val="0"/>
          <w:sz w:val="20"/>
        </w:rPr>
        <w:t>Dit bedrijfsnoodplan is opgesteld om de continuïteit van de bedrijfsvoering te waarborgen bij calamiteiten die de normale bedrijfsactiviteiten verstoren. Het plan beschrijft de noodzakelijke maatregelen en procedures om snel en effectief te reageren op noodsituaties.</w:t>
      </w:r>
    </w:p>
    <w:p/>
    <w:p>
      <w:r>
        <w:rPr>
          <w:b/>
          <w:sz w:val="24"/>
        </w:rPr>
        <w:t>2. Doelstelling</w:t>
      </w:r>
    </w:p>
    <w:p>
      <w:r>
        <w:rPr>
          <w:b w:val="0"/>
          <w:sz w:val="20"/>
        </w:rPr>
        <w:t>Het doel van dit plan is het minimaliseren van risico’s, het beschermen van werknemers en bedrijfsmiddelen, en het zo snel mogelijk hervatten van de bedrijfsactiviteiten na een calamiteit.</w:t>
      </w:r>
    </w:p>
    <w:p/>
    <w:p>
      <w:r>
        <w:rPr>
          <w:b/>
          <w:sz w:val="24"/>
        </w:rPr>
        <w:t>3. Risicoanalyse</w:t>
      </w:r>
    </w:p>
    <w:p>
      <w:r>
        <w:rPr>
          <w:b w:val="0"/>
          <w:sz w:val="20"/>
        </w:rPr>
        <w:t>De belangrijkste risico’s voor het bedrijf zijn onder andere brand, stroomuitval, cyberaanvallen, overstromingen en pandemieën. Voor elk risico zijn specifieke maatregelen en responsprocedures opgesteld.</w:t>
      </w:r>
    </w:p>
    <w:p/>
    <w:p>
      <w:r>
        <w:rPr>
          <w:b/>
          <w:sz w:val="24"/>
        </w:rPr>
        <w:t>4. Preventieve maatregelen</w:t>
      </w:r>
    </w:p>
    <w:p>
      <w:r>
        <w:rPr>
          <w:b w:val="0"/>
          <w:sz w:val="20"/>
        </w:rPr>
        <w:t>Om risico’s te beperken zijn de volgende preventieve maatregelen genomen:</w:t>
      </w:r>
    </w:p>
    <w:p>
      <w:r>
        <w:rPr>
          <w:b w:val="0"/>
          <w:sz w:val="20"/>
        </w:rPr>
        <w:t>- Regelmatige brandveiligheidstraining en ontruimingsoefeningen.</w:t>
      </w:r>
    </w:p>
    <w:p>
      <w:r>
        <w:rPr>
          <w:b w:val="0"/>
          <w:sz w:val="20"/>
        </w:rPr>
        <w:t>- Back-up voorzieningen voor stroom en data.</w:t>
      </w:r>
    </w:p>
    <w:p>
      <w:r>
        <w:rPr>
          <w:b w:val="0"/>
          <w:sz w:val="20"/>
        </w:rPr>
        <w:t>- Beveiligingsmaatregelen tegen cyberaanvallen.</w:t>
      </w:r>
    </w:p>
    <w:p>
      <w:r>
        <w:rPr>
          <w:b w:val="0"/>
          <w:sz w:val="20"/>
        </w:rPr>
        <w:t>- Inspecties en onderhoud van gebouwen en installaties.</w:t>
      </w:r>
    </w:p>
    <w:p/>
    <w:p>
      <w:r>
        <w:rPr>
          <w:b/>
          <w:sz w:val="24"/>
        </w:rPr>
        <w:t>5. Noodcommunicatie</w:t>
      </w:r>
    </w:p>
    <w:p>
      <w:r>
        <w:rPr>
          <w:b w:val="0"/>
          <w:sz w:val="20"/>
        </w:rPr>
        <w:t>In geval van een calamiteit is het essentieel om snel en duidelijk te communiceren. Hieronder staat het communicatieschema en de contactgegevens van de noodteams.</w:t>
      </w:r>
    </w:p>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t>Functie</w:t>
            </w:r>
          </w:p>
        </w:tc>
        <w:tc>
          <w:tcPr>
            <w:tcW w:type="dxa" w:w="3324"/>
            <w:tcBorders>
              <w:top w:val="nil"/>
              <w:left w:val="nil"/>
              <w:bottom w:val="nil"/>
              <w:right w:val="nil"/>
              <w:insideH w:val="nil"/>
              <w:insideV w:val="nil"/>
            </w:tcBorders>
          </w:tcPr>
          <w:p>
            <w:pPr>
              <w:jc w:val="center"/>
            </w:pPr>
            <w:r>
              <w:t>Naam</w:t>
            </w:r>
          </w:p>
        </w:tc>
        <w:tc>
          <w:tcPr>
            <w:tcW w:type="dxa" w:w="3324"/>
            <w:tcBorders>
              <w:top w:val="nil"/>
              <w:left w:val="nil"/>
              <w:bottom w:val="nil"/>
              <w:right w:val="nil"/>
              <w:insideH w:val="nil"/>
              <w:insideV w:val="nil"/>
            </w:tcBorders>
          </w:tcPr>
          <w:p>
            <w:pPr>
              <w:jc w:val="center"/>
            </w:pPr>
            <w:r>
              <w:t>Telefoonnummer</w:t>
            </w:r>
          </w:p>
        </w:tc>
      </w:tr>
      <w:tr>
        <w:tc>
          <w:tcPr>
            <w:tcW w:type="dxa" w:w="3324"/>
            <w:tcBorders>
              <w:top w:val="nil"/>
              <w:left w:val="nil"/>
              <w:bottom w:val="nil"/>
              <w:right w:val="nil"/>
              <w:insideH w:val="nil"/>
              <w:insideV w:val="nil"/>
            </w:tcBorders>
          </w:tcPr>
          <w:p>
            <w:pPr>
              <w:jc w:val="center"/>
            </w:pPr>
            <w:r>
              <w:t>Noodcoördinator</w:t>
            </w:r>
          </w:p>
        </w:tc>
        <w:tc>
          <w:tcPr>
            <w:tcW w:type="dxa" w:w="3324"/>
            <w:tcBorders>
              <w:top w:val="nil"/>
              <w:left w:val="nil"/>
              <w:bottom w:val="nil"/>
              <w:right w:val="nil"/>
              <w:insideH w:val="nil"/>
              <w:insideV w:val="nil"/>
            </w:tcBorders>
          </w:tcPr>
          <w:p>
            <w:pPr>
              <w:jc w:val="center"/>
            </w:pPr>
            <w:r>
              <w:t>____________________________</w:t>
            </w:r>
          </w:p>
        </w:tc>
        <w:tc>
          <w:tcPr>
            <w:tcW w:type="dxa" w:w="3324"/>
            <w:tcBorders>
              <w:top w:val="nil"/>
              <w:left w:val="nil"/>
              <w:bottom w:val="nil"/>
              <w:right w:val="nil"/>
              <w:insideH w:val="nil"/>
              <w:insideV w:val="nil"/>
            </w:tcBorders>
          </w:tcPr>
          <w:p>
            <w:pPr>
              <w:jc w:val="center"/>
            </w:pPr>
            <w:r>
              <w:t>________________</w:t>
            </w:r>
          </w:p>
        </w:tc>
      </w:tr>
      <w:tr>
        <w:tc>
          <w:tcPr>
            <w:tcW w:type="dxa" w:w="3324"/>
            <w:tcBorders>
              <w:top w:val="nil"/>
              <w:left w:val="nil"/>
              <w:bottom w:val="nil"/>
              <w:right w:val="nil"/>
              <w:insideH w:val="nil"/>
              <w:insideV w:val="nil"/>
            </w:tcBorders>
          </w:tcPr>
          <w:p>
            <w:pPr>
              <w:jc w:val="center"/>
            </w:pPr>
            <w:r>
              <w:t>Veiligheidsfunctionaris</w:t>
            </w:r>
          </w:p>
        </w:tc>
        <w:tc>
          <w:tcPr>
            <w:tcW w:type="dxa" w:w="3324"/>
            <w:tcBorders>
              <w:top w:val="nil"/>
              <w:left w:val="nil"/>
              <w:bottom w:val="nil"/>
              <w:right w:val="nil"/>
              <w:insideH w:val="nil"/>
              <w:insideV w:val="nil"/>
            </w:tcBorders>
          </w:tcPr>
          <w:p>
            <w:pPr>
              <w:jc w:val="center"/>
            </w:pPr>
            <w:r>
              <w:t>____________________________</w:t>
            </w:r>
          </w:p>
        </w:tc>
        <w:tc>
          <w:tcPr>
            <w:tcW w:type="dxa" w:w="3324"/>
            <w:tcBorders>
              <w:top w:val="nil"/>
              <w:left w:val="nil"/>
              <w:bottom w:val="nil"/>
              <w:right w:val="nil"/>
              <w:insideH w:val="nil"/>
              <w:insideV w:val="nil"/>
            </w:tcBorders>
          </w:tcPr>
          <w:p>
            <w:pPr>
              <w:jc w:val="center"/>
            </w:pPr>
            <w:r>
              <w:t>________________</w:t>
            </w:r>
          </w:p>
        </w:tc>
      </w:tr>
      <w:tr>
        <w:tc>
          <w:tcPr>
            <w:tcW w:type="dxa" w:w="3324"/>
            <w:tcBorders>
              <w:top w:val="nil"/>
              <w:left w:val="nil"/>
              <w:bottom w:val="nil"/>
              <w:right w:val="nil"/>
              <w:insideH w:val="nil"/>
              <w:insideV w:val="nil"/>
            </w:tcBorders>
          </w:tcPr>
          <w:p>
            <w:pPr>
              <w:jc w:val="center"/>
            </w:pPr>
            <w:r>
              <w:t>IT-beheerder</w:t>
            </w:r>
          </w:p>
        </w:tc>
        <w:tc>
          <w:tcPr>
            <w:tcW w:type="dxa" w:w="3324"/>
            <w:tcBorders>
              <w:top w:val="nil"/>
              <w:left w:val="nil"/>
              <w:bottom w:val="nil"/>
              <w:right w:val="nil"/>
              <w:insideH w:val="nil"/>
              <w:insideV w:val="nil"/>
            </w:tcBorders>
          </w:tcPr>
          <w:p>
            <w:pPr>
              <w:jc w:val="center"/>
            </w:pPr>
            <w:r>
              <w:t>____________________________</w:t>
            </w:r>
          </w:p>
        </w:tc>
        <w:tc>
          <w:tcPr>
            <w:tcW w:type="dxa" w:w="3324"/>
            <w:tcBorders>
              <w:top w:val="nil"/>
              <w:left w:val="nil"/>
              <w:bottom w:val="nil"/>
              <w:right w:val="nil"/>
              <w:insideH w:val="nil"/>
              <w:insideV w:val="nil"/>
            </w:tcBorders>
          </w:tcPr>
          <w:p>
            <w:pPr>
              <w:jc w:val="center"/>
            </w:pPr>
            <w:r>
              <w:t>________________</w:t>
            </w:r>
          </w:p>
        </w:tc>
      </w:tr>
    </w:tbl>
    <w:p/>
    <w:p/>
    <w:p>
      <w:r>
        <w:rPr>
          <w:b/>
          <w:sz w:val="24"/>
        </w:rPr>
        <w:t>6. Evacuatie- en ontruimingsplan</w:t>
      </w:r>
    </w:p>
    <w:p>
      <w:r>
        <w:rPr>
          <w:b w:val="0"/>
          <w:sz w:val="20"/>
        </w:rPr>
        <w:t>Bij calamiteiten waarbij ontruiming noodzakelijk is, gelden de volgende richtlijnen:</w:t>
      </w:r>
    </w:p>
    <w:p>
      <w:r>
        <w:rPr>
          <w:b w:val="0"/>
          <w:sz w:val="20"/>
        </w:rPr>
        <w:t>- Volg de aangewezen vluchtroutes en verzamelpunten.</w:t>
      </w:r>
    </w:p>
    <w:p>
      <w:r>
        <w:rPr>
          <w:b w:val="0"/>
          <w:sz w:val="20"/>
        </w:rPr>
        <w:t>- Assistente verlenen aan personen die dit nodig hebben.</w:t>
      </w:r>
    </w:p>
    <w:p>
      <w:r>
        <w:rPr>
          <w:b w:val="0"/>
          <w:sz w:val="20"/>
        </w:rPr>
        <w:t>- Meld eventuele vermisten direct bij de noodcoördinator.</w:t>
      </w:r>
    </w:p>
    <w:p/>
    <w:p>
      <w:r>
        <w:rPr>
          <w:b/>
          <w:sz w:val="24"/>
        </w:rPr>
        <w:t>7. Herstel- en continuïteitsplan</w:t>
      </w:r>
    </w:p>
    <w:p>
      <w:r>
        <w:rPr>
          <w:b w:val="0"/>
          <w:sz w:val="20"/>
        </w:rPr>
        <w:t>Na een calamiteit wordt zo snel mogelijk gestart met herstelactiviteiten om bedrijfsprocessen te hervatten. Prioriteit wordt gegeven aan kritieke processen en infrastructuur.</w:t>
      </w:r>
    </w:p>
    <w:p/>
    <w:p>
      <w:r>
        <w:rPr>
          <w:b/>
          <w:sz w:val="24"/>
        </w:rPr>
        <w:t>8. Rollen en verantwoordelijkheden</w:t>
      </w:r>
    </w:p>
    <w:p>
      <w:r>
        <w:rPr>
          <w:b w:val="0"/>
          <w:sz w:val="20"/>
        </w:rPr>
        <w:t>De volgende personen en afdelingen hebben specifieke taken bij de uitvoering van dit noodplan:</w:t>
      </w:r>
    </w:p>
    <w:p>
      <w:r>
        <w:rPr>
          <w:b w:val="0"/>
          <w:sz w:val="20"/>
        </w:rPr>
        <w:t>- Noodcoördinator: leiding en coördinatie bij calamiteiten.</w:t>
      </w:r>
    </w:p>
    <w:p>
      <w:r>
        <w:rPr>
          <w:b w:val="0"/>
          <w:sz w:val="20"/>
        </w:rPr>
        <w:t>- Veiligheidsfunctionaris: toezicht op naleving veiligheidsmaatregelen.</w:t>
      </w:r>
    </w:p>
    <w:p>
      <w:r>
        <w:rPr>
          <w:b w:val="0"/>
          <w:sz w:val="20"/>
        </w:rPr>
        <w:t>- Afdelingshoofden: uitvoering herstel binnen eigen afdeling.</w:t>
      </w:r>
    </w:p>
    <w:p>
      <w:r>
        <w:rPr>
          <w:b w:val="0"/>
          <w:sz w:val="20"/>
        </w:rPr>
        <w:t>- IT-afdeling: herstel van IT-systemen en databeveiliging.</w:t>
      </w:r>
    </w:p>
    <w:p/>
    <w:p>
      <w:r>
        <w:rPr>
          <w:b/>
          <w:sz w:val="24"/>
        </w:rPr>
        <w:t>9. Oefeningen en bijwerking</w:t>
      </w:r>
    </w:p>
    <w:p>
      <w:r>
        <w:rPr>
          <w:b w:val="0"/>
          <w:sz w:val="20"/>
        </w:rPr>
        <w:t>Het noodplan wordt minimaal jaarlijks geëvalueerd en bijgesteld. Regelmatig worden oefeningen georganiseerd om de effectiviteit en bekendheid van het plan te waarborgen.</w:t>
      </w:r>
    </w:p>
    <w:p/>
    <w:p/>
    <w:p>
      <w:pPr>
        <w:jc w:val="center"/>
      </w:pPr>
      <w:r>
        <w:rPr>
          <w:b/>
          <w:sz w:val="20"/>
        </w:rPr>
        <w:t>Goedkeuring en ondertekening van het bedrijfsnoodplan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Bedrijfsleiding</w:t>
            </w:r>
          </w:p>
        </w:tc>
        <w:tc>
          <w:tcPr>
            <w:tcW w:type="dxa" w:w="4986"/>
            <w:tcBorders>
              <w:top w:val="nil"/>
              <w:left w:val="nil"/>
              <w:bottom w:val="nil"/>
              <w:right w:val="nil"/>
              <w:insideH w:val="nil"/>
              <w:insideV w:val="nil"/>
            </w:tcBorders>
          </w:tcPr>
          <w:p>
            <w:pPr>
              <w:jc w:val="center"/>
            </w:pPr>
            <w:r>
              <w:t>Veiligheidsfunctionaris</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https://planvoorbeelden.com/bedrijfsnoodplan-voorbeeld/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bedrijfsnood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