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MEERJARENPLAN VOORBEELD</w:t>
      </w:r>
    </w:p>
    <w:p/>
    <w:p/>
    <w:p>
      <w:r>
        <w:rPr>
          <w:b/>
          <w:sz w:val="24"/>
        </w:rPr>
        <w:t>1. Inleiding</w:t>
      </w:r>
    </w:p>
    <w:p>
      <w:r>
        <w:rPr>
          <w:b w:val="0"/>
          <w:sz w:val="22"/>
        </w:rPr>
        <w:t>Dit meerjarenplan beschrijft de strategische doelstellingen, geplande activiteiten en financiële ramingen voor de komende jaren. Het plan dient als leidraad voor de organisatie en biedt een overzicht van de ontwikkeling en groei.</w:t>
      </w:r>
    </w:p>
    <w:p/>
    <w:p>
      <w:r>
        <w:rPr>
          <w:b/>
          <w:sz w:val="24"/>
        </w:rPr>
        <w:t>2. Visie en Missie</w:t>
      </w:r>
    </w:p>
    <w:p>
      <w:r>
        <w:rPr>
          <w:b w:val="0"/>
          <w:sz w:val="22"/>
        </w:rPr>
        <w:t>Visie:</w:t>
      </w:r>
    </w:p>
    <w:p>
      <w:r>
        <w:rPr>
          <w:b w:val="0"/>
          <w:sz w:val="22"/>
        </w:rPr>
        <w:t>Onze organisatie streeft ernaar een toonaangevende rol te vervullen binnen onze sector door innovatie, duurzaamheid en klantgerichtheid centraal te stellen.</w:t>
      </w:r>
    </w:p>
    <w:p/>
    <w:p>
      <w:r>
        <w:rPr>
          <w:b w:val="0"/>
          <w:sz w:val="22"/>
        </w:rPr>
        <w:t>Missie:</w:t>
      </w:r>
    </w:p>
    <w:p>
      <w:r>
        <w:rPr>
          <w:b w:val="0"/>
          <w:sz w:val="22"/>
        </w:rPr>
        <w:t>Wij bieden hoogwaardige producten en diensten die bijdragen aan het welzijn van onze klanten en de maatschappij, met respect voor mens en milieu.</w:t>
      </w:r>
    </w:p>
    <w:p/>
    <w:p>
      <w:r>
        <w:rPr>
          <w:b/>
          <w:sz w:val="24"/>
        </w:rPr>
        <w:t>3. Strategische Doelstellingen</w:t>
      </w:r>
    </w:p>
    <w:p>
      <w:r>
        <w:rPr>
          <w:b w:val="0"/>
          <w:sz w:val="22"/>
        </w:rPr>
        <w:t>3.1 Marktpositie versterken</w:t>
        <w:br/>
        <w:t>Wij richten ons op het vergroten van ons marktaandeel door uitbreiding van ons klantenbestand en verbetering van onze dienstverlening.</w:t>
      </w:r>
    </w:p>
    <w:p/>
    <w:p>
      <w:r>
        <w:rPr>
          <w:b w:val="0"/>
          <w:sz w:val="22"/>
        </w:rPr>
        <w:t>3.2 Innovatie stimuleren</w:t>
        <w:br/>
        <w:t>Continu investeren in onderzoek en ontwikkeling om innovatieve oplossingen te bieden die anticiperen op toekomstige behoeften.</w:t>
      </w:r>
    </w:p>
    <w:p/>
    <w:p>
      <w:r>
        <w:rPr>
          <w:b w:val="0"/>
          <w:sz w:val="22"/>
        </w:rPr>
        <w:t>3.3 Duurzaamheid integreren</w:t>
        <w:br/>
        <w:t>Onze activiteiten afstemmen op duurzame principes en milieuvriendelijke processen toepassen.</w:t>
      </w:r>
    </w:p>
    <w:p/>
    <w:p>
      <w:r>
        <w:rPr>
          <w:b/>
          <w:sz w:val="24"/>
        </w:rPr>
        <w:t>4. Activiteiten en Planning</w:t>
      </w:r>
    </w:p>
    <w:p>
      <w:r>
        <w:rPr>
          <w:b w:val="0"/>
          <w:sz w:val="22"/>
        </w:rPr>
        <w:t>De volgende kernactiviteiten worden gepland voor de komende jaren:</w:t>
      </w:r>
    </w:p>
    <w:p>
      <w:r>
        <w:rPr>
          <w:b/>
          <w:sz w:val="22"/>
        </w:rPr>
        <w:t>• Uitbreiding productportfolio</w:t>
      </w:r>
    </w:p>
    <w:p>
      <w:r>
        <w:rPr>
          <w:b/>
          <w:sz w:val="22"/>
        </w:rPr>
        <w:t>• Training en ontwikkeling van medewerkers</w:t>
      </w:r>
    </w:p>
    <w:p>
      <w:r>
        <w:rPr>
          <w:b/>
          <w:sz w:val="22"/>
        </w:rPr>
        <w:t>• Implementatie van een nieuw CRM-systeem</w:t>
      </w:r>
    </w:p>
    <w:p>
      <w:r>
        <w:rPr>
          <w:b/>
          <w:sz w:val="22"/>
        </w:rPr>
        <w:t>• Versterking van marketing- en communicatieactiviteiten</w:t>
      </w:r>
    </w:p>
    <w:p>
      <w:r>
        <w:rPr>
          <w:b/>
          <w:sz w:val="22"/>
        </w:rPr>
        <w:t>• Verbetering van de klanttevredenheid door serviceoptimalisatie</w:t>
      </w:r>
    </w:p>
    <w:p/>
    <w:p>
      <w:r>
        <w:rPr>
          <w:b/>
          <w:sz w:val="24"/>
        </w:rPr>
        <w:t>5. Financiële Ramingen</w:t>
      </w:r>
    </w:p>
    <w:p>
      <w:r>
        <w:rPr>
          <w:b w:val="0"/>
          <w:sz w:val="22"/>
        </w:rPr>
        <w:t>Onderstaande tabel geeft een overzicht van de geraamde inkomsten, kosten en investeringen voor de komende drie jaar.</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Jaar</w:t>
            </w:r>
          </w:p>
        </w:tc>
        <w:tc>
          <w:tcPr>
            <w:tcW w:type="dxa" w:w="2493"/>
          </w:tcPr>
          <w:p>
            <w:r>
              <w:t>Inkomsten (€)</w:t>
            </w:r>
          </w:p>
        </w:tc>
        <w:tc>
          <w:tcPr>
            <w:tcW w:type="dxa" w:w="2493"/>
          </w:tcPr>
          <w:p>
            <w:r>
              <w:t>Kosten (€)</w:t>
            </w:r>
          </w:p>
        </w:tc>
        <w:tc>
          <w:tcPr>
            <w:tcW w:type="dxa" w:w="2493"/>
          </w:tcPr>
          <w:p>
            <w:r>
              <w:t>Investeringen (€)</w:t>
            </w:r>
          </w:p>
        </w:tc>
      </w:tr>
      <w:tr>
        <w:tc>
          <w:tcPr>
            <w:tcW w:type="dxa" w:w="2493"/>
          </w:tcPr>
          <w:p>
            <w:r>
              <w:t>2024</w:t>
            </w:r>
          </w:p>
        </w:tc>
        <w:tc>
          <w:tcPr>
            <w:tcW w:type="dxa" w:w="2493"/>
          </w:tcPr>
          <w:p>
            <w:r>
              <w:t>0,00</w:t>
            </w:r>
          </w:p>
        </w:tc>
        <w:tc>
          <w:tcPr>
            <w:tcW w:type="dxa" w:w="2493"/>
          </w:tcPr>
          <w:p>
            <w:r>
              <w:t>0,00</w:t>
            </w:r>
          </w:p>
        </w:tc>
        <w:tc>
          <w:tcPr>
            <w:tcW w:type="dxa" w:w="2493"/>
          </w:tcPr>
          <w:p>
            <w:r>
              <w:t>0,00</w:t>
            </w:r>
          </w:p>
        </w:tc>
      </w:tr>
      <w:tr>
        <w:tc>
          <w:tcPr>
            <w:tcW w:type="dxa" w:w="2493"/>
          </w:tcPr>
          <w:p>
            <w:r>
              <w:t>2025</w:t>
            </w:r>
          </w:p>
        </w:tc>
        <w:tc>
          <w:tcPr>
            <w:tcW w:type="dxa" w:w="2493"/>
          </w:tcPr>
          <w:p>
            <w:r>
              <w:t>0,00</w:t>
            </w:r>
          </w:p>
        </w:tc>
        <w:tc>
          <w:tcPr>
            <w:tcW w:type="dxa" w:w="2493"/>
          </w:tcPr>
          <w:p>
            <w:r>
              <w:t>0,00</w:t>
            </w:r>
          </w:p>
        </w:tc>
        <w:tc>
          <w:tcPr>
            <w:tcW w:type="dxa" w:w="2493"/>
          </w:tcPr>
          <w:p>
            <w:r>
              <w:t>0,00</w:t>
            </w:r>
          </w:p>
        </w:tc>
      </w:tr>
      <w:tr>
        <w:tc>
          <w:tcPr>
            <w:tcW w:type="dxa" w:w="2493"/>
          </w:tcPr>
          <w:p>
            <w:r>
              <w:t>2026</w:t>
            </w:r>
          </w:p>
        </w:tc>
        <w:tc>
          <w:tcPr>
            <w:tcW w:type="dxa" w:w="2493"/>
          </w:tcPr>
          <w:p>
            <w:r>
              <w:t>0,00</w:t>
            </w:r>
          </w:p>
        </w:tc>
        <w:tc>
          <w:tcPr>
            <w:tcW w:type="dxa" w:w="2493"/>
          </w:tcPr>
          <w:p>
            <w:r>
              <w:t>0,00</w:t>
            </w:r>
          </w:p>
        </w:tc>
        <w:tc>
          <w:tcPr>
            <w:tcW w:type="dxa" w:w="2493"/>
          </w:tcPr>
          <w:p>
            <w:r>
              <w:t>0,00</w:t>
            </w:r>
          </w:p>
        </w:tc>
      </w:tr>
      <w:tr>
        <w:tc>
          <w:tcPr>
            <w:tcW w:type="dxa" w:w="2493"/>
          </w:tcPr>
          <w:p>
            <w:r>
              <w:t>Totaal</w:t>
            </w:r>
          </w:p>
        </w:tc>
        <w:tc>
          <w:tcPr>
            <w:tcW w:type="dxa" w:w="2493"/>
          </w:tcPr>
          <w:p>
            <w:r>
              <w:t>0,00</w:t>
            </w:r>
          </w:p>
        </w:tc>
        <w:tc>
          <w:tcPr>
            <w:tcW w:type="dxa" w:w="2493"/>
          </w:tcPr>
          <w:p>
            <w:r>
              <w:t>0,00</w:t>
            </w:r>
          </w:p>
        </w:tc>
        <w:tc>
          <w:tcPr>
            <w:tcW w:type="dxa" w:w="2493"/>
          </w:tcPr>
          <w:p>
            <w:r>
              <w:t>0,00</w:t>
            </w:r>
          </w:p>
        </w:tc>
      </w:tr>
    </w:tbl>
    <w:p/>
    <w:p/>
    <w:p>
      <w:r>
        <w:rPr>
          <w:b/>
          <w:sz w:val="24"/>
        </w:rPr>
        <w:t>6. Evaluatie en Bijsturing</w:t>
      </w:r>
    </w:p>
    <w:p>
      <w:r>
        <w:rPr>
          <w:b w:val="0"/>
          <w:sz w:val="22"/>
        </w:rPr>
        <w:t>Het meerjarenplan wordt jaarlijks geëvalueerd en indien nodig bijgesteld om de doelstellingen te waarborgen en in te spelen op veranderende omstandigheden.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https://planvoorbeelden.com/meerjarenplan-voorbeeld/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meerjaren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