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METHODISCH PLAN VAN AANPAK</w:t>
      </w:r>
    </w:p>
    <w:p/>
    <w:p/>
    <w:p>
      <w:r>
        <w:rPr>
          <w:b/>
          <w:sz w:val="24"/>
        </w:rPr>
        <w:t>1. Inleiding</w:t>
      </w:r>
    </w:p>
    <w:p>
      <w:r>
        <w:rPr>
          <w:b w:val="0"/>
          <w:sz w:val="20"/>
        </w:rPr>
        <w:t>Dit Methodisch Plan van Aanpak beschrijft op systematische wijze de aanpak, methoden en planning van het project om de gestelde doelstellingen te realiseren. Het document vormt de basis voor communicatie en afstemming tussen betrokken partijen.</w:t>
      </w:r>
    </w:p>
    <w:p/>
    <w:p>
      <w:r>
        <w:rPr>
          <w:b/>
          <w:sz w:val="24"/>
        </w:rPr>
        <w:t>2. Doelstelling</w:t>
      </w:r>
    </w:p>
    <w:p>
      <w:r>
        <w:rPr>
          <w:b w:val="0"/>
          <w:sz w:val="20"/>
        </w:rPr>
        <w:t>Het doel van dit project is om een duidelijke en uitvoerbare strategie te ontwikkelen voor het realiseren van de overeengekomen resultaten, met oog voor kwaliteit, tijd en budget.</w:t>
      </w:r>
    </w:p>
    <w:p/>
    <w:p>
      <w:r>
        <w:rPr>
          <w:b/>
          <w:sz w:val="24"/>
        </w:rPr>
        <w:t>3. Analyse van de huidige situatie</w:t>
      </w:r>
    </w:p>
    <w:p>
      <w:r>
        <w:rPr>
          <w:b w:val="0"/>
          <w:sz w:val="20"/>
        </w:rPr>
        <w:t>Een grondige analyse van de huidige situatie is uitgevoerd om de context en randvoorwaarden van het project helder in kaart te brengen. Hierbij zijn relevante gegevens en informatiebronnen geraadpleegd.</w:t>
      </w:r>
    </w:p>
    <w:p/>
    <w:p>
      <w:r>
        <w:rPr>
          <w:b/>
          <w:sz w:val="24"/>
        </w:rPr>
        <w:t>4. Methode en werkwijze</w:t>
      </w:r>
    </w:p>
    <w:p>
      <w:r>
        <w:rPr>
          <w:b/>
          <w:sz w:val="22"/>
        </w:rPr>
        <w:t>4.1 Onderzoeks- en analysemethoden</w:t>
      </w:r>
    </w:p>
    <w:p>
      <w:r>
        <w:rPr>
          <w:b w:val="0"/>
          <w:sz w:val="20"/>
        </w:rPr>
        <w:t>Er wordt gebruikgemaakt van kwalitatieve en kwantitatieve onderzoeksmethoden, zoals interviews, enquêtes en documentanalyse. Deze combinatie zorgt voor een gedegen en onderbouwde aanpak.</w:t>
      </w:r>
    </w:p>
    <w:p/>
    <w:p>
      <w:r>
        <w:rPr>
          <w:b/>
          <w:sz w:val="22"/>
        </w:rPr>
        <w:t>4.2 Planning van activiteiten</w:t>
      </w:r>
    </w:p>
    <w:p>
      <w:r>
        <w:rPr>
          <w:b w:val="0"/>
          <w:sz w:val="20"/>
        </w:rPr>
        <w:t>De activiteiten zijn gestructureerd in fasen met duidelijke mijlpalen en deliverables. Elke fase wordt systematisch uitgevoerd en geëvalueerd.</w:t>
      </w:r>
    </w:p>
    <w:p/>
    <w:p>
      <w:r>
        <w:rPr>
          <w:b/>
          <w:sz w:val="22"/>
        </w:rPr>
        <w:t>4.3 Betrokken partijen en communicatie</w:t>
      </w:r>
    </w:p>
    <w:p>
      <w:r>
        <w:rPr>
          <w:b w:val="0"/>
          <w:sz w:val="20"/>
        </w:rPr>
        <w:t>Er is een helder communicatieplan opgesteld om de betrokkenen tijdig te informeren en te betrekken. Regelmatige voortgangsrapportages en overlegmomenten zijn gepland.</w:t>
      </w:r>
    </w:p>
    <w:p/>
    <w:p>
      <w:r>
        <w:rPr>
          <w:b/>
          <w:sz w:val="24"/>
        </w:rPr>
        <w:t>5. Planning en tijdsplanning</w:t>
      </w:r>
    </w:p>
    <w:p>
      <w:r>
        <w:rPr>
          <w:b w:val="0"/>
          <w:sz w:val="20"/>
        </w:rPr>
        <w:t>Onderstaand schema geeft een overzicht van de fasering, activiteiten en de verwachte tijdsbesteding.</w:t>
      </w:r>
    </w:p>
    <w:p/>
    <w:tbl>
      <w:tblPr>
        <w:tblW w:type="auto" w:w="0"/>
        <w:tblLayout w:type="autofit"/>
        <w:tblLook w:firstColumn="1" w:firstRow="1" w:lastColumn="0" w:lastRow="0" w:noHBand="0" w:noVBand="1" w:val="04A0"/>
      </w:tblPr>
      <w:tblGrid>
        <w:gridCol w:w="3324"/>
        <w:gridCol w:w="3324"/>
        <w:gridCol w:w="3324"/>
      </w:tblGrid>
      <w:tr>
        <w:tc>
          <w:tcPr>
            <w:tcW w:type="dxa" w:w="3324"/>
            <w:tcBorders>
              <w:top w:val="nil"/>
              <w:left w:val="nil"/>
              <w:bottom w:val="nil"/>
              <w:right w:val="nil"/>
              <w:insideH w:val="nil"/>
              <w:insideV w:val="nil"/>
            </w:tcBorders>
          </w:tcPr>
          <w:p>
            <w:pPr>
              <w:jc w:val="center"/>
            </w:pPr>
            <w:r>
              <w:t>Fase</w:t>
            </w:r>
          </w:p>
        </w:tc>
        <w:tc>
          <w:tcPr>
            <w:tcW w:type="dxa" w:w="3324"/>
            <w:tcBorders>
              <w:top w:val="nil"/>
              <w:left w:val="nil"/>
              <w:bottom w:val="nil"/>
              <w:right w:val="nil"/>
              <w:insideH w:val="nil"/>
              <w:insideV w:val="nil"/>
            </w:tcBorders>
          </w:tcPr>
          <w:p>
            <w:pPr>
              <w:jc w:val="center"/>
            </w:pPr>
            <w:r>
              <w:t>Activiteiten</w:t>
            </w:r>
          </w:p>
        </w:tc>
        <w:tc>
          <w:tcPr>
            <w:tcW w:type="dxa" w:w="3324"/>
            <w:tcBorders>
              <w:top w:val="nil"/>
              <w:left w:val="nil"/>
              <w:bottom w:val="nil"/>
              <w:right w:val="nil"/>
              <w:insideH w:val="nil"/>
              <w:insideV w:val="nil"/>
            </w:tcBorders>
          </w:tcPr>
          <w:p>
            <w:pPr>
              <w:jc w:val="center"/>
            </w:pPr>
            <w:r>
              <w:t>Tijdsplanning</w:t>
            </w:r>
          </w:p>
        </w:tc>
      </w:tr>
      <w:tr>
        <w:tc>
          <w:tcPr>
            <w:tcW w:type="dxa" w:w="3324"/>
            <w:tcBorders>
              <w:top w:val="nil"/>
              <w:left w:val="nil"/>
              <w:bottom w:val="nil"/>
              <w:right w:val="nil"/>
              <w:insideH w:val="nil"/>
              <w:insideV w:val="nil"/>
            </w:tcBorders>
          </w:tcPr>
          <w:p>
            <w:pPr>
              <w:jc w:val="center"/>
            </w:pPr>
            <w:r>
              <w:t>Fase 1</w:t>
            </w:r>
          </w:p>
        </w:tc>
        <w:tc>
          <w:tcPr>
            <w:tcW w:type="dxa" w:w="3324"/>
            <w:tcBorders>
              <w:top w:val="nil"/>
              <w:left w:val="nil"/>
              <w:bottom w:val="nil"/>
              <w:right w:val="nil"/>
              <w:insideH w:val="nil"/>
              <w:insideV w:val="nil"/>
            </w:tcBorders>
          </w:tcPr>
          <w:p>
            <w:pPr>
              <w:jc w:val="center"/>
            </w:pPr>
            <w:r>
              <w:t>Voorbereiding en analyse</w:t>
            </w:r>
          </w:p>
        </w:tc>
        <w:tc>
          <w:tcPr>
            <w:tcW w:type="dxa" w:w="3324"/>
            <w:tcBorders>
              <w:top w:val="nil"/>
              <w:left w:val="nil"/>
              <w:bottom w:val="nil"/>
              <w:right w:val="nil"/>
              <w:insideH w:val="nil"/>
              <w:insideV w:val="nil"/>
            </w:tcBorders>
          </w:tcPr>
          <w:p>
            <w:pPr>
              <w:jc w:val="center"/>
            </w:pPr>
            <w:r>
              <w:t>Week 1 - 2</w:t>
            </w:r>
          </w:p>
        </w:tc>
      </w:tr>
      <w:tr>
        <w:tc>
          <w:tcPr>
            <w:tcW w:type="dxa" w:w="3324"/>
            <w:tcBorders>
              <w:top w:val="nil"/>
              <w:left w:val="nil"/>
              <w:bottom w:val="nil"/>
              <w:right w:val="nil"/>
              <w:insideH w:val="nil"/>
              <w:insideV w:val="nil"/>
            </w:tcBorders>
          </w:tcPr>
          <w:p>
            <w:pPr>
              <w:jc w:val="center"/>
            </w:pPr>
            <w:r>
              <w:t>Fase 2</w:t>
            </w:r>
          </w:p>
        </w:tc>
        <w:tc>
          <w:tcPr>
            <w:tcW w:type="dxa" w:w="3324"/>
            <w:tcBorders>
              <w:top w:val="nil"/>
              <w:left w:val="nil"/>
              <w:bottom w:val="nil"/>
              <w:right w:val="nil"/>
              <w:insideH w:val="nil"/>
              <w:insideV w:val="nil"/>
            </w:tcBorders>
          </w:tcPr>
          <w:p>
            <w:pPr>
              <w:jc w:val="center"/>
            </w:pPr>
            <w:r>
              <w:t>Ontwikkeling en uitvoering</w:t>
            </w:r>
          </w:p>
        </w:tc>
        <w:tc>
          <w:tcPr>
            <w:tcW w:type="dxa" w:w="3324"/>
            <w:tcBorders>
              <w:top w:val="nil"/>
              <w:left w:val="nil"/>
              <w:bottom w:val="nil"/>
              <w:right w:val="nil"/>
              <w:insideH w:val="nil"/>
              <w:insideV w:val="nil"/>
            </w:tcBorders>
          </w:tcPr>
          <w:p>
            <w:pPr>
              <w:jc w:val="center"/>
            </w:pPr>
            <w:r>
              <w:t>Week 3 - 6</w:t>
            </w:r>
          </w:p>
        </w:tc>
      </w:tr>
      <w:tr>
        <w:tc>
          <w:tcPr>
            <w:tcW w:type="dxa" w:w="3324"/>
            <w:tcBorders>
              <w:top w:val="nil"/>
              <w:left w:val="nil"/>
              <w:bottom w:val="nil"/>
              <w:right w:val="nil"/>
              <w:insideH w:val="nil"/>
              <w:insideV w:val="nil"/>
            </w:tcBorders>
          </w:tcPr>
          <w:p>
            <w:pPr>
              <w:jc w:val="center"/>
            </w:pPr>
            <w:r>
              <w:t>Fase 3</w:t>
            </w:r>
          </w:p>
        </w:tc>
        <w:tc>
          <w:tcPr>
            <w:tcW w:type="dxa" w:w="3324"/>
            <w:tcBorders>
              <w:top w:val="nil"/>
              <w:left w:val="nil"/>
              <w:bottom w:val="nil"/>
              <w:right w:val="nil"/>
              <w:insideH w:val="nil"/>
              <w:insideV w:val="nil"/>
            </w:tcBorders>
          </w:tcPr>
          <w:p>
            <w:pPr>
              <w:jc w:val="center"/>
            </w:pPr>
            <w:r>
              <w:t>Evaluatie en rapportage</w:t>
            </w:r>
          </w:p>
        </w:tc>
        <w:tc>
          <w:tcPr>
            <w:tcW w:type="dxa" w:w="3324"/>
            <w:tcBorders>
              <w:top w:val="nil"/>
              <w:left w:val="nil"/>
              <w:bottom w:val="nil"/>
              <w:right w:val="nil"/>
              <w:insideH w:val="nil"/>
              <w:insideV w:val="nil"/>
            </w:tcBorders>
          </w:tcPr>
          <w:p>
            <w:pPr>
              <w:jc w:val="center"/>
            </w:pPr>
            <w:r>
              <w:t>Week 7 - 8</w:t>
            </w:r>
          </w:p>
        </w:tc>
      </w:tr>
      <w:tr>
        <w:tc>
          <w:tcPr>
            <w:tcW w:type="dxa" w:w="3324"/>
            <w:tcBorders>
              <w:top w:val="nil"/>
              <w:left w:val="nil"/>
              <w:bottom w:val="nil"/>
              <w:right w:val="nil"/>
              <w:insideH w:val="nil"/>
              <w:insideV w:val="nil"/>
            </w:tcBorders>
          </w:tcPr>
          <w:p>
            <w:pPr>
              <w:jc w:val="center"/>
            </w:pPr>
            <w:r>
              <w:t>Fase 4</w:t>
            </w:r>
          </w:p>
        </w:tc>
        <w:tc>
          <w:tcPr>
            <w:tcW w:type="dxa" w:w="3324"/>
            <w:tcBorders>
              <w:top w:val="nil"/>
              <w:left w:val="nil"/>
              <w:bottom w:val="nil"/>
              <w:right w:val="nil"/>
              <w:insideH w:val="nil"/>
              <w:insideV w:val="nil"/>
            </w:tcBorders>
          </w:tcPr>
          <w:p>
            <w:pPr>
              <w:jc w:val="center"/>
            </w:pPr>
            <w:r>
              <w:t>Afronding en overdracht</w:t>
            </w:r>
          </w:p>
        </w:tc>
        <w:tc>
          <w:tcPr>
            <w:tcW w:type="dxa" w:w="3324"/>
            <w:tcBorders>
              <w:top w:val="nil"/>
              <w:left w:val="nil"/>
              <w:bottom w:val="nil"/>
              <w:right w:val="nil"/>
              <w:insideH w:val="nil"/>
              <w:insideV w:val="nil"/>
            </w:tcBorders>
          </w:tcPr>
          <w:p>
            <w:pPr>
              <w:jc w:val="center"/>
            </w:pPr>
            <w:r>
              <w:t>Week 9</w:t>
            </w:r>
          </w:p>
        </w:tc>
      </w:tr>
    </w:tbl>
    <w:p/>
    <w:p>
      <w:r>
        <w:rPr>
          <w:b/>
          <w:sz w:val="24"/>
        </w:rPr>
        <w:t>6. Kwaliteitsborging</w:t>
      </w:r>
    </w:p>
    <w:p>
      <w:r>
        <w:rPr>
          <w:b w:val="0"/>
          <w:sz w:val="20"/>
        </w:rPr>
        <w:t>Tijdens het gehele project wordt aandacht besteed aan kwaliteitsbewaking en -borging. Dit gebeurt door toetsing van tussentijdse resultaten, feedback van stakeholders en het toepassen van best practices.</w:t>
      </w:r>
    </w:p>
    <w:p/>
    <w:p>
      <w:r>
        <w:rPr>
          <w:b/>
          <w:sz w:val="24"/>
        </w:rPr>
        <w:t>7. Risicoanalyse en beheersmaatregelen</w:t>
      </w:r>
    </w:p>
    <w:p>
      <w:r>
        <w:rPr>
          <w:b w:val="0"/>
          <w:sz w:val="20"/>
        </w:rPr>
        <w:t>Potentiële risico's die het succes van het project kunnen beïnvloeden zijn in kaart gebracht. Voor elk risico zijn passende beheersmaatregelen geformuleerd om de impact te minimaliseren.</w:t>
      </w:r>
    </w:p>
    <w:p/>
    <w:tbl>
      <w:tblPr>
        <w:tblW w:type="auto" w:w="0"/>
        <w:tblLayout w:type="autofit"/>
        <w:tblLook w:firstColumn="1" w:firstRow="1" w:lastColumn="0" w:lastRow="0" w:noHBand="0" w:noVBand="1" w:val="04A0"/>
      </w:tblPr>
      <w:tblGrid>
        <w:gridCol w:w="3324"/>
        <w:gridCol w:w="3324"/>
        <w:gridCol w:w="3324"/>
      </w:tblGrid>
      <w:tr>
        <w:tc>
          <w:tcPr>
            <w:tcW w:type="dxa" w:w="3324"/>
            <w:tcBorders>
              <w:top w:val="nil"/>
              <w:left w:val="nil"/>
              <w:bottom w:val="nil"/>
              <w:right w:val="nil"/>
              <w:insideH w:val="nil"/>
              <w:insideV w:val="nil"/>
            </w:tcBorders>
          </w:tcPr>
          <w:p>
            <w:pPr>
              <w:jc w:val="center"/>
            </w:pPr>
            <w:r>
              <w:t>Risico</w:t>
            </w:r>
          </w:p>
        </w:tc>
        <w:tc>
          <w:tcPr>
            <w:tcW w:type="dxa" w:w="3324"/>
            <w:tcBorders>
              <w:top w:val="nil"/>
              <w:left w:val="nil"/>
              <w:bottom w:val="nil"/>
              <w:right w:val="nil"/>
              <w:insideH w:val="nil"/>
              <w:insideV w:val="nil"/>
            </w:tcBorders>
          </w:tcPr>
          <w:p>
            <w:pPr>
              <w:jc w:val="center"/>
            </w:pPr>
            <w:r>
              <w:t>Impact</w:t>
            </w:r>
          </w:p>
        </w:tc>
        <w:tc>
          <w:tcPr>
            <w:tcW w:type="dxa" w:w="3324"/>
            <w:tcBorders>
              <w:top w:val="nil"/>
              <w:left w:val="nil"/>
              <w:bottom w:val="nil"/>
              <w:right w:val="nil"/>
              <w:insideH w:val="nil"/>
              <w:insideV w:val="nil"/>
            </w:tcBorders>
          </w:tcPr>
          <w:p>
            <w:pPr>
              <w:jc w:val="center"/>
            </w:pPr>
            <w:r>
              <w:t>Beheersmaatregel</w:t>
            </w:r>
          </w:p>
        </w:tc>
      </w:tr>
      <w:tr>
        <w:tc>
          <w:tcPr>
            <w:tcW w:type="dxa" w:w="3324"/>
            <w:tcBorders>
              <w:top w:val="nil"/>
              <w:left w:val="nil"/>
              <w:bottom w:val="nil"/>
              <w:right w:val="nil"/>
              <w:insideH w:val="nil"/>
              <w:insideV w:val="nil"/>
            </w:tcBorders>
          </w:tcPr>
          <w:p>
            <w:pPr>
              <w:jc w:val="center"/>
            </w:pPr>
            <w:r>
              <w:t>Vertraging in planning</w:t>
            </w:r>
          </w:p>
        </w:tc>
        <w:tc>
          <w:tcPr>
            <w:tcW w:type="dxa" w:w="3324"/>
            <w:tcBorders>
              <w:top w:val="nil"/>
              <w:left w:val="nil"/>
              <w:bottom w:val="nil"/>
              <w:right w:val="nil"/>
              <w:insideH w:val="nil"/>
              <w:insideV w:val="nil"/>
            </w:tcBorders>
          </w:tcPr>
          <w:p>
            <w:pPr>
              <w:jc w:val="center"/>
            </w:pPr>
            <w:r>
              <w:t>Middel</w:t>
            </w:r>
          </w:p>
        </w:tc>
        <w:tc>
          <w:tcPr>
            <w:tcW w:type="dxa" w:w="3324"/>
            <w:tcBorders>
              <w:top w:val="nil"/>
              <w:left w:val="nil"/>
              <w:bottom w:val="nil"/>
              <w:right w:val="nil"/>
              <w:insideH w:val="nil"/>
              <w:insideV w:val="nil"/>
            </w:tcBorders>
          </w:tcPr>
          <w:p>
            <w:pPr>
              <w:jc w:val="center"/>
            </w:pPr>
            <w:r>
              <w:t>Tijdige voortgangscontrole en bijsturing</w:t>
            </w:r>
          </w:p>
        </w:tc>
      </w:tr>
      <w:tr>
        <w:tc>
          <w:tcPr>
            <w:tcW w:type="dxa" w:w="3324"/>
            <w:tcBorders>
              <w:top w:val="nil"/>
              <w:left w:val="nil"/>
              <w:bottom w:val="nil"/>
              <w:right w:val="nil"/>
              <w:insideH w:val="nil"/>
              <w:insideV w:val="nil"/>
            </w:tcBorders>
          </w:tcPr>
          <w:p>
            <w:pPr>
              <w:jc w:val="center"/>
            </w:pPr>
            <w:r>
              <w:t>Onvoldoende draagvlak</w:t>
            </w:r>
          </w:p>
        </w:tc>
        <w:tc>
          <w:tcPr>
            <w:tcW w:type="dxa" w:w="3324"/>
            <w:tcBorders>
              <w:top w:val="nil"/>
              <w:left w:val="nil"/>
              <w:bottom w:val="nil"/>
              <w:right w:val="nil"/>
              <w:insideH w:val="nil"/>
              <w:insideV w:val="nil"/>
            </w:tcBorders>
          </w:tcPr>
          <w:p>
            <w:pPr>
              <w:jc w:val="center"/>
            </w:pPr>
            <w:r>
              <w:t>Hoog</w:t>
            </w:r>
          </w:p>
        </w:tc>
        <w:tc>
          <w:tcPr>
            <w:tcW w:type="dxa" w:w="3324"/>
            <w:tcBorders>
              <w:top w:val="nil"/>
              <w:left w:val="nil"/>
              <w:bottom w:val="nil"/>
              <w:right w:val="nil"/>
              <w:insideH w:val="nil"/>
              <w:insideV w:val="nil"/>
            </w:tcBorders>
          </w:tcPr>
          <w:p>
            <w:pPr>
              <w:jc w:val="center"/>
            </w:pPr>
            <w:r>
              <w:t>Vroegtijdige betrokkenheid stakeholders</w:t>
            </w:r>
          </w:p>
        </w:tc>
      </w:tr>
      <w:tr>
        <w:tc>
          <w:tcPr>
            <w:tcW w:type="dxa" w:w="3324"/>
            <w:tcBorders>
              <w:top w:val="nil"/>
              <w:left w:val="nil"/>
              <w:bottom w:val="nil"/>
              <w:right w:val="nil"/>
              <w:insideH w:val="nil"/>
              <w:insideV w:val="nil"/>
            </w:tcBorders>
          </w:tcPr>
          <w:p>
            <w:pPr>
              <w:jc w:val="center"/>
            </w:pPr>
            <w:r>
              <w:t>Beperkingen in middelen</w:t>
            </w:r>
          </w:p>
        </w:tc>
        <w:tc>
          <w:tcPr>
            <w:tcW w:type="dxa" w:w="3324"/>
            <w:tcBorders>
              <w:top w:val="nil"/>
              <w:left w:val="nil"/>
              <w:bottom w:val="nil"/>
              <w:right w:val="nil"/>
              <w:insideH w:val="nil"/>
              <w:insideV w:val="nil"/>
            </w:tcBorders>
          </w:tcPr>
          <w:p>
            <w:pPr>
              <w:jc w:val="center"/>
            </w:pPr>
            <w:r>
              <w:t>Middel</w:t>
            </w:r>
          </w:p>
        </w:tc>
        <w:tc>
          <w:tcPr>
            <w:tcW w:type="dxa" w:w="3324"/>
            <w:tcBorders>
              <w:top w:val="nil"/>
              <w:left w:val="nil"/>
              <w:bottom w:val="nil"/>
              <w:right w:val="nil"/>
              <w:insideH w:val="nil"/>
              <w:insideV w:val="nil"/>
            </w:tcBorders>
          </w:tcPr>
          <w:p>
            <w:pPr>
              <w:jc w:val="center"/>
            </w:pPr>
            <w:r>
              <w:t>Efficiënte inzet en prioritering</w:t>
            </w:r>
          </w:p>
        </w:tc>
      </w:tr>
    </w:tbl>
    <w:p/>
    <w:p>
      <w:r>
        <w:rPr>
          <w:b/>
          <w:sz w:val="24"/>
        </w:rPr>
        <w:t>8. Rollen en verantwoordelijkheden</w:t>
      </w:r>
    </w:p>
    <w:p>
      <w:r>
        <w:rPr>
          <w:b w:val="0"/>
          <w:sz w:val="20"/>
        </w:rPr>
        <w:t>De betrokken partijen en hun verantwoordelijkheden zijn als volgt vastgelegd:</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Rol</w:t>
            </w:r>
          </w:p>
        </w:tc>
        <w:tc>
          <w:tcPr>
            <w:tcW w:type="dxa" w:w="4986"/>
            <w:tcBorders>
              <w:top w:val="nil"/>
              <w:left w:val="nil"/>
              <w:bottom w:val="nil"/>
              <w:right w:val="nil"/>
              <w:insideH w:val="nil"/>
              <w:insideV w:val="nil"/>
            </w:tcBorders>
          </w:tcPr>
          <w:p>
            <w:pPr>
              <w:jc w:val="center"/>
            </w:pPr>
            <w:r>
              <w:t>Verantwoordelijkheden</w:t>
            </w:r>
          </w:p>
        </w:tc>
      </w:tr>
      <w:tr>
        <w:tc>
          <w:tcPr>
            <w:tcW w:type="dxa" w:w="4986"/>
            <w:tcBorders>
              <w:top w:val="nil"/>
              <w:left w:val="nil"/>
              <w:bottom w:val="nil"/>
              <w:right w:val="nil"/>
              <w:insideH w:val="nil"/>
              <w:insideV w:val="nil"/>
            </w:tcBorders>
          </w:tcPr>
          <w:p>
            <w:pPr>
              <w:jc w:val="center"/>
            </w:pPr>
            <w:r>
              <w:t>Projectleider</w:t>
            </w:r>
          </w:p>
        </w:tc>
        <w:tc>
          <w:tcPr>
            <w:tcW w:type="dxa" w:w="4986"/>
            <w:tcBorders>
              <w:top w:val="nil"/>
              <w:left w:val="nil"/>
              <w:bottom w:val="nil"/>
              <w:right w:val="nil"/>
              <w:insideH w:val="nil"/>
              <w:insideV w:val="nil"/>
            </w:tcBorders>
          </w:tcPr>
          <w:p>
            <w:pPr>
              <w:jc w:val="center"/>
            </w:pPr>
            <w:r>
              <w:t>Coördinatie en bewaking voortgang</w:t>
            </w:r>
          </w:p>
        </w:tc>
      </w:tr>
      <w:tr>
        <w:tc>
          <w:tcPr>
            <w:tcW w:type="dxa" w:w="4986"/>
            <w:tcBorders>
              <w:top w:val="nil"/>
              <w:left w:val="nil"/>
              <w:bottom w:val="nil"/>
              <w:right w:val="nil"/>
              <w:insideH w:val="nil"/>
              <w:insideV w:val="nil"/>
            </w:tcBorders>
          </w:tcPr>
          <w:p>
            <w:pPr>
              <w:jc w:val="center"/>
            </w:pPr>
            <w:r>
              <w:t>Projectteam</w:t>
            </w:r>
          </w:p>
        </w:tc>
        <w:tc>
          <w:tcPr>
            <w:tcW w:type="dxa" w:w="4986"/>
            <w:tcBorders>
              <w:top w:val="nil"/>
              <w:left w:val="nil"/>
              <w:bottom w:val="nil"/>
              <w:right w:val="nil"/>
              <w:insideH w:val="nil"/>
              <w:insideV w:val="nil"/>
            </w:tcBorders>
          </w:tcPr>
          <w:p>
            <w:pPr>
              <w:jc w:val="center"/>
            </w:pPr>
            <w:r>
              <w:t>Uitvoering van activiteiten en rapportage</w:t>
            </w:r>
          </w:p>
        </w:tc>
      </w:tr>
      <w:tr>
        <w:tc>
          <w:tcPr>
            <w:tcW w:type="dxa" w:w="4986"/>
            <w:tcBorders>
              <w:top w:val="nil"/>
              <w:left w:val="nil"/>
              <w:bottom w:val="nil"/>
              <w:right w:val="nil"/>
              <w:insideH w:val="nil"/>
              <w:insideV w:val="nil"/>
            </w:tcBorders>
          </w:tcPr>
          <w:p>
            <w:pPr>
              <w:jc w:val="center"/>
            </w:pPr>
            <w:r>
              <w:t>Opdrachtgever</w:t>
            </w:r>
          </w:p>
        </w:tc>
        <w:tc>
          <w:tcPr>
            <w:tcW w:type="dxa" w:w="4986"/>
            <w:tcBorders>
              <w:top w:val="nil"/>
              <w:left w:val="nil"/>
              <w:bottom w:val="nil"/>
              <w:right w:val="nil"/>
              <w:insideH w:val="nil"/>
              <w:insideV w:val="nil"/>
            </w:tcBorders>
          </w:tcPr>
          <w:p>
            <w:pPr>
              <w:jc w:val="center"/>
            </w:pPr>
            <w:r>
              <w:t>Besluitvorming en goedkeuring</w:t>
            </w:r>
          </w:p>
        </w:tc>
      </w:tr>
    </w:tbl>
    <w:p/>
    <w:p>
      <w:r>
        <w:rPr>
          <w:b/>
          <w:sz w:val="24"/>
        </w:rPr>
        <w:t>9. Communicatieplan</w:t>
      </w:r>
    </w:p>
    <w:p>
      <w:r>
        <w:rPr>
          <w:b w:val="0"/>
          <w:sz w:val="20"/>
        </w:rPr>
        <w:t>Een helder communicatieplan zorgt voor effectieve informatie-uitwisseling en afstemming tussen alle betrokkenen. Regelmatige vergaderingen, schriftelijke rapportages en informele updates worden gehanteerd.</w:t>
      </w:r>
    </w:p>
    <w:p/>
    <w:p>
      <w:r>
        <w:rPr>
          <w:b/>
          <w:sz w:val="24"/>
        </w:rPr>
        <w:t>10. Bijlagen</w:t>
      </w:r>
    </w:p>
    <w:p>
      <w:r>
        <w:rPr>
          <w:b w:val="0"/>
          <w:sz w:val="20"/>
        </w:rPr>
        <w:t>Onderstaande documenten maken onderdeel uit van dit Methodisch Plan van Aanpak:</w:t>
      </w:r>
    </w:p>
    <w:p>
      <w:r>
        <w:rPr>
          <w:b w:val="0"/>
          <w:sz w:val="20"/>
        </w:rPr>
        <w:t>- Projectorganisatie</w:t>
      </w:r>
    </w:p>
    <w:p>
      <w:r>
        <w:rPr>
          <w:b w:val="0"/>
          <w:sz w:val="20"/>
        </w:rPr>
        <w:t>- Gedetailleerde planning</w:t>
      </w:r>
    </w:p>
    <w:p>
      <w:r>
        <w:rPr>
          <w:b w:val="0"/>
          <w:sz w:val="20"/>
        </w:rPr>
        <w:t>- Risicoanalyse rapport</w:t>
      </w:r>
    </w:p>
    <w:p>
      <w:r>
        <w:rPr>
          <w:b w:val="0"/>
          <w:sz w:val="20"/>
        </w:rPr>
        <w:t>- Communicatieprotocol</w:t>
      </w:r>
    </w:p>
    <w:p/>
    <w:p/>
    <w:p>
      <w:pPr>
        <w:jc w:val="center"/>
      </w:pPr>
      <w:r>
        <w:rPr>
          <w:b/>
          <w:sz w:val="20"/>
        </w:rPr>
        <w:t>Goedkeuring en ondertekening</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Opdrachtgever</w:t>
            </w:r>
          </w:p>
        </w:tc>
        <w:tc>
          <w:tcPr>
            <w:tcW w:type="dxa" w:w="4986"/>
            <w:tcBorders>
              <w:top w:val="nil"/>
              <w:left w:val="nil"/>
              <w:bottom w:val="nil"/>
              <w:right w:val="nil"/>
              <w:insideH w:val="nil"/>
              <w:insideV w:val="nil"/>
            </w:tcBorders>
          </w:tcPr>
          <w:p>
            <w:pPr>
              <w:jc w:val="center"/>
            </w:pPr>
            <w:r>
              <w:t>Projectleider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https://planvoorbeelden.com/methodisch-plan-van-aanpak/</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methodisch-plan-van-aanpak/"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