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SPONSORPLAN VOORBEELD</w:t>
      </w:r>
    </w:p>
    <w:p/>
    <w:p>
      <w:r>
        <w:rPr>
          <w:b w:val="0"/>
          <w:sz w:val="20"/>
        </w:rPr>
        <w:t>Dit sponsorplan biedt een overzicht van de sponsormogelijkheden en voordelen voor potentiële sponsoren. Het document is opgesteld met inachtneming van de geldende Nederlandse wet- en regelgeving.</w:t>
      </w:r>
    </w:p>
    <w:p/>
    <w:p/>
    <w:p>
      <w:r>
        <w:rPr>
          <w:b/>
          <w:sz w:val="22"/>
        </w:rPr>
        <w:t>1. Over het Project</w:t>
      </w:r>
    </w:p>
    <w:p>
      <w:r>
        <w:rPr>
          <w:b w:val="0"/>
          <w:sz w:val="20"/>
        </w:rPr>
        <w:t>Het project richt zich op het realiseren van maatschappelijke, culturele en/of sportieve doelen binnen de regio. Door middel van dit sponsorplan wordt beoogd een transparante samenwerking tot stand te brengen tussen de organisatie en sponsoren.</w:t>
      </w:r>
    </w:p>
    <w:p/>
    <w:p>
      <w:r>
        <w:rPr>
          <w:b/>
          <w:sz w:val="22"/>
        </w:rPr>
        <w:t>2. Sponsorpakketten</w:t>
      </w:r>
    </w:p>
    <w:tbl>
      <w:tblPr>
        <w:tblW w:type="auto" w:w="0"/>
        <w:tblLayout w:type="autofit"/>
        <w:tblLook w:firstColumn="1" w:firstRow="1" w:lastColumn="0" w:lastRow="0" w:noHBand="0" w:noVBand="1" w:val="04A0"/>
      </w:tblPr>
      <w:tblGrid>
        <w:gridCol w:w="3324"/>
        <w:gridCol w:w="3324"/>
        <w:gridCol w:w="3324"/>
      </w:tblGrid>
      <w:tr>
        <w:tc>
          <w:tcPr>
            <w:tcW w:type="dxa" w:w="3324"/>
          </w:tcPr>
          <w:p>
            <w:r>
              <w:t>Pakket</w:t>
            </w:r>
          </w:p>
        </w:tc>
        <w:tc>
          <w:tcPr>
            <w:tcW w:type="dxa" w:w="3324"/>
          </w:tcPr>
          <w:p>
            <w:r>
              <w:t>Bijdrage (€)</w:t>
            </w:r>
          </w:p>
        </w:tc>
        <w:tc>
          <w:tcPr>
            <w:tcW w:type="dxa" w:w="3324"/>
          </w:tcPr>
          <w:p>
            <w:r>
              <w:t>Voordelen</w:t>
            </w:r>
          </w:p>
        </w:tc>
      </w:tr>
      <w:tr>
        <w:tc>
          <w:tcPr>
            <w:tcW w:type="dxa" w:w="3324"/>
          </w:tcPr>
          <w:p>
            <w:r>
              <w:t>Brons</w:t>
            </w:r>
          </w:p>
        </w:tc>
        <w:tc>
          <w:tcPr>
            <w:tcW w:type="dxa" w:w="3324"/>
          </w:tcPr>
          <w:p>
            <w:r>
              <w:t>500 - 1.000</w:t>
            </w:r>
          </w:p>
        </w:tc>
        <w:tc>
          <w:tcPr>
            <w:tcW w:type="dxa" w:w="3324"/>
          </w:tcPr>
          <w:p>
            <w:r>
              <w:t>Vermelding op website, logo op promotiemateriaal</w:t>
            </w:r>
          </w:p>
        </w:tc>
      </w:tr>
      <w:tr>
        <w:tc>
          <w:tcPr>
            <w:tcW w:type="dxa" w:w="3324"/>
          </w:tcPr>
          <w:p>
            <w:r>
              <w:t>Zilver</w:t>
            </w:r>
          </w:p>
        </w:tc>
        <w:tc>
          <w:tcPr>
            <w:tcW w:type="dxa" w:w="3324"/>
          </w:tcPr>
          <w:p>
            <w:r>
              <w:t>1.001 - 3.000</w:t>
            </w:r>
          </w:p>
        </w:tc>
        <w:tc>
          <w:tcPr>
            <w:tcW w:type="dxa" w:w="3324"/>
          </w:tcPr>
          <w:p>
            <w:r>
              <w:t>Alle brons voordelen + vermelding in persberichten, social media</w:t>
            </w:r>
          </w:p>
        </w:tc>
      </w:tr>
      <w:tr>
        <w:tc>
          <w:tcPr>
            <w:tcW w:type="dxa" w:w="3324"/>
          </w:tcPr>
          <w:p>
            <w:r>
              <w:t>Goud</w:t>
            </w:r>
          </w:p>
        </w:tc>
        <w:tc>
          <w:tcPr>
            <w:tcW w:type="dxa" w:w="3324"/>
          </w:tcPr>
          <w:p>
            <w:r>
              <w:t>3.001 en hoger</w:t>
            </w:r>
          </w:p>
        </w:tc>
        <w:tc>
          <w:tcPr>
            <w:tcW w:type="dxa" w:w="3324"/>
          </w:tcPr>
          <w:p>
            <w:r>
              <w:t>Alle zilver voordelen + exclusieve uitnodigingen evenementen, logo op merchandise</w:t>
            </w:r>
          </w:p>
        </w:tc>
      </w:tr>
    </w:tbl>
    <w:p/>
    <w:p/>
    <w:p>
      <w:r>
        <w:rPr>
          <w:b/>
          <w:sz w:val="22"/>
        </w:rPr>
        <w:t>3. Verplichtingen van de Organisatie</w:t>
      </w:r>
    </w:p>
    <w:p>
      <w:r>
        <w:rPr>
          <w:b w:val="0"/>
          <w:sz w:val="20"/>
        </w:rPr>
        <w:t>De organisatie zal de sponsoren tijdig voorzien van alle relevante informatie en zal zorgdragen voor correcte en volledige uitvoering van de afgesproken sponsorvoordelen. Transparantie en open communicatie staan centraal.</w:t>
      </w:r>
    </w:p>
    <w:p/>
    <w:p>
      <w:r>
        <w:rPr>
          <w:b/>
          <w:sz w:val="22"/>
        </w:rPr>
        <w:t>4. Verplichtingen van de Sponsor</w:t>
      </w:r>
    </w:p>
    <w:p>
      <w:r>
        <w:rPr>
          <w:b w:val="0"/>
          <w:sz w:val="20"/>
        </w:rPr>
        <w:t>De sponsor verbindt zich tot tijdige betaling van de afgesproken bijdrage en het naleven van afspraken omtrent het gebruik van logo’s en merkuitingen conform de richtlijnen van de organisatie.</w:t>
      </w:r>
    </w:p>
    <w:p/>
    <w:p>
      <w:r>
        <w:rPr>
          <w:b/>
          <w:sz w:val="22"/>
        </w:rPr>
        <w:t>5. Duur en Beëindiging van het Sponsorcontract</w:t>
      </w:r>
    </w:p>
    <w:p>
      <w:r>
        <w:rPr>
          <w:b w:val="0"/>
          <w:sz w:val="20"/>
        </w:rPr>
        <w:t>Het sponsorcontract wordt aangegaan voor de duur van één kalenderjaar, tenzij schriftelijk anders overeengekomen. Opzegging kan schriftelijk plaatsvinden met een opzegtermijn van ten minste 30 dagen voor afloop van de contractperiode.</w:t>
      </w:r>
    </w:p>
    <w:p/>
    <w:p>
      <w:r>
        <w:rPr>
          <w:b/>
          <w:sz w:val="22"/>
        </w:rPr>
        <w:t>6. Rechtskeuze en Geschillen</w:t>
      </w:r>
    </w:p>
    <w:p>
      <w:r>
        <w:rPr>
          <w:b w:val="0"/>
          <w:sz w:val="20"/>
        </w:rPr>
        <w:t>Op deze overeenkomst is Nederlands recht van toepassing. Geschillen voortvloeiende uit deze overeenkomst zullen uitsluitend worden voorgelegd aan de bevoegde Nederlandse rechtbank.</w:t>
      </w:r>
    </w:p>
    <w:p/>
    <w:p/>
    <w:p>
      <w:r>
        <w:rPr>
          <w:b w:val="0"/>
          <w:sz w:val="20"/>
        </w:rPr>
        <w:t>Plaats, 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ORGANISATIE</w:t>
            </w:r>
          </w:p>
        </w:tc>
        <w:tc>
          <w:tcPr>
            <w:tcW w:type="dxa" w:w="4986"/>
            <w:tcBorders>
              <w:top w:val="nil"/>
              <w:left w:val="nil"/>
              <w:bottom w:val="nil"/>
              <w:right w:val="nil"/>
              <w:insideH w:val="nil"/>
              <w:insideV w:val="nil"/>
            </w:tcBorders>
          </w:tcPr>
          <w:p>
            <w:pPr>
              <w:jc w:val="center"/>
            </w:pPr>
            <w:r>
              <w:t>SPONSOR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https://planvoorbeelden.com/sponsorplan-voorbeeld/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sponsor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