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VITALITEITSPLAN</w:t>
      </w:r>
    </w:p>
    <w:p/>
    <w:p/>
    <w:p>
      <w:r>
        <w:rPr>
          <w:b/>
          <w:sz w:val="24"/>
        </w:rPr>
        <w:t>1. Inleiding</w:t>
      </w:r>
    </w:p>
    <w:p>
      <w:r>
        <w:rPr>
          <w:b w:val="0"/>
          <w:sz w:val="20"/>
        </w:rPr>
        <w:t>Dit vitaliteitsplan is opgesteld om de gezondheid, het welzijn en de inzetbaarheid van medewerkers binnen onze organisatie te bevorderen. Het plan bevat maatregelen en activiteiten die bijdragen aan een gezonde en vitale werkomgeving.</w:t>
      </w:r>
    </w:p>
    <w:p/>
    <w:p>
      <w:r>
        <w:rPr>
          <w:b/>
          <w:sz w:val="24"/>
        </w:rPr>
        <w:t>2. Doelstellingen</w:t>
      </w:r>
    </w:p>
    <w:p>
      <w:r>
        <w:rPr>
          <w:b w:val="0"/>
          <w:sz w:val="20"/>
        </w:rPr>
        <w:t>- Verlagen van ziekteverzuim en bevorderen van herstel.</w:t>
      </w:r>
    </w:p>
    <w:p>
      <w:r>
        <w:rPr>
          <w:b w:val="0"/>
          <w:sz w:val="20"/>
        </w:rPr>
        <w:t>- Verbeteren van fysieke en mentale gezondheid van medewerkers.</w:t>
      </w:r>
    </w:p>
    <w:p>
      <w:r>
        <w:rPr>
          <w:b w:val="0"/>
          <w:sz w:val="20"/>
        </w:rPr>
        <w:t>- Stimuleren van een positieve werk-privébalans.</w:t>
      </w:r>
    </w:p>
    <w:p>
      <w:r>
        <w:rPr>
          <w:b w:val="0"/>
          <w:sz w:val="20"/>
        </w:rPr>
        <w:t>- Verhogen van motivatie en betrokkenheid op de werkvloer.</w:t>
      </w:r>
    </w:p>
    <w:p/>
    <w:p>
      <w:r>
        <w:rPr>
          <w:b/>
          <w:sz w:val="24"/>
        </w:rPr>
        <w:t>3. Analyse van de huidige situatie</w:t>
      </w:r>
    </w:p>
    <w:p>
      <w:r>
        <w:rPr>
          <w:b w:val="0"/>
          <w:sz w:val="20"/>
        </w:rPr>
        <w:t>Op basis van recente gegevens en gesprekken is de huidige gezondheidssituatie van onze medewerkers als volgt geanalyseerd:</w:t>
      </w:r>
    </w:p>
    <w:p>
      <w:r>
        <w:rPr>
          <w:b w:val="0"/>
          <w:sz w:val="20"/>
        </w:rPr>
        <w:t>- Ziekteverzuimpercentage: ________%</w:t>
      </w:r>
    </w:p>
    <w:p>
      <w:r>
        <w:rPr>
          <w:b w:val="0"/>
          <w:sz w:val="20"/>
        </w:rPr>
        <w:t>- Veelvoorkomende klachten: ____________</w:t>
      </w:r>
    </w:p>
    <w:p>
      <w:r>
        <w:rPr>
          <w:b w:val="0"/>
          <w:sz w:val="20"/>
        </w:rPr>
        <w:t>- Werkomstandigheden: ___________________</w:t>
      </w:r>
    </w:p>
    <w:p/>
    <w:p>
      <w:r>
        <w:rPr>
          <w:b/>
          <w:sz w:val="24"/>
        </w:rPr>
        <w:t>4. Actiepunten en maatregelen</w:t>
      </w:r>
    </w:p>
    <w:p>
      <w:r>
        <w:rPr>
          <w:b w:val="0"/>
          <w:sz w:val="20"/>
        </w:rPr>
        <w:t>4.1. Preventie en bewustwording</w:t>
      </w:r>
    </w:p>
    <w:p>
      <w:r>
        <w:rPr>
          <w:b w:val="0"/>
          <w:sz w:val="20"/>
        </w:rPr>
        <w:t>- Organiseren van workshops over gezonde voeding en bewegen.</w:t>
      </w:r>
    </w:p>
    <w:p>
      <w:r>
        <w:rPr>
          <w:b w:val="0"/>
          <w:sz w:val="20"/>
        </w:rPr>
        <w:t>- Inzetten van preventieve medische onderzoeken.</w:t>
      </w:r>
    </w:p>
    <w:p>
      <w:r>
        <w:rPr>
          <w:b w:val="0"/>
          <w:sz w:val="20"/>
        </w:rPr>
        <w:t>- Communicatiecampagnes rond mentale gezondheid.</w:t>
      </w:r>
    </w:p>
    <w:p/>
    <w:p>
      <w:r>
        <w:rPr>
          <w:b w:val="0"/>
          <w:sz w:val="20"/>
        </w:rPr>
        <w:t>4.2. Fysieke activiteiten</w:t>
      </w:r>
    </w:p>
    <w:p>
      <w:r>
        <w:rPr>
          <w:b w:val="0"/>
          <w:sz w:val="20"/>
        </w:rPr>
        <w:t>- Faciliteren van sportactiviteiten en beweegprogramma's.</w:t>
      </w:r>
    </w:p>
    <w:p>
      <w:r>
        <w:rPr>
          <w:b w:val="0"/>
          <w:sz w:val="20"/>
        </w:rPr>
        <w:t>- Aanpassen van werkplekken volgens ergonomische richtlijnen.</w:t>
      </w:r>
    </w:p>
    <w:p>
      <w:r>
        <w:rPr>
          <w:b w:val="0"/>
          <w:sz w:val="20"/>
        </w:rPr>
        <w:t>- Stimuleren van actieve pauzes gedurende de werkdag.</w:t>
      </w:r>
    </w:p>
    <w:p/>
    <w:p>
      <w:r>
        <w:rPr>
          <w:b w:val="0"/>
          <w:sz w:val="20"/>
        </w:rPr>
        <w:t>4.3. Mentale gezondheid</w:t>
      </w:r>
    </w:p>
    <w:p>
      <w:r>
        <w:rPr>
          <w:b w:val="0"/>
          <w:sz w:val="20"/>
        </w:rPr>
        <w:t>- Trainingen stressmanagement en mindfulness.</w:t>
      </w:r>
    </w:p>
    <w:p>
      <w:r>
        <w:rPr>
          <w:b w:val="0"/>
          <w:sz w:val="20"/>
        </w:rPr>
        <w:t>- Beschikbaarheid van vertrouwenspersonen en coaching.</w:t>
      </w:r>
    </w:p>
    <w:p>
      <w:r>
        <w:rPr>
          <w:b w:val="0"/>
          <w:sz w:val="20"/>
        </w:rPr>
        <w:t>- Borging van een open en ondersteunende werkcultuur.</w:t>
      </w:r>
    </w:p>
    <w:p/>
    <w:p>
      <w:r>
        <w:rPr>
          <w:b w:val="0"/>
          <w:sz w:val="20"/>
        </w:rPr>
        <w:t>4.4. Werk-privébalans</w:t>
      </w:r>
    </w:p>
    <w:p>
      <w:r>
        <w:rPr>
          <w:b w:val="0"/>
          <w:sz w:val="20"/>
        </w:rPr>
        <w:t>- Flexibele werktijden en thuiswerkmogelijkheden.</w:t>
      </w:r>
    </w:p>
    <w:p>
      <w:r>
        <w:rPr>
          <w:b w:val="0"/>
          <w:sz w:val="20"/>
        </w:rPr>
        <w:t>- Ondersteuning bij zorg- en opvoedingsverplichtingen.</w:t>
      </w:r>
    </w:p>
    <w:p>
      <w:r>
        <w:rPr>
          <w:b w:val="0"/>
          <w:sz w:val="20"/>
        </w:rPr>
        <w:t>- Bevorderen van regelmatige vakanties en vrije dagen.</w:t>
      </w:r>
    </w:p>
    <w:p/>
    <w:p>
      <w:r>
        <w:rPr>
          <w:b/>
          <w:sz w:val="24"/>
        </w:rPr>
        <w:t>5. Verantwoordelijkheden</w:t>
      </w:r>
    </w:p>
    <w:p>
      <w:r>
        <w:rPr>
          <w:b w:val="0"/>
          <w:sz w:val="20"/>
        </w:rPr>
        <w:t>De volgende partijen zijn verantwoordelijk voor de uitvoering van dit vitaliteitsplan:</w:t>
      </w:r>
    </w:p>
    <w:p>
      <w:r>
        <w:rPr>
          <w:b w:val="0"/>
          <w:sz w:val="20"/>
        </w:rPr>
        <w:t>- Management: faciliteren en stimuleren van vitaliteitsactiviteiten.</w:t>
      </w:r>
    </w:p>
    <w:p>
      <w:r>
        <w:rPr>
          <w:b w:val="0"/>
          <w:sz w:val="20"/>
        </w:rPr>
        <w:t>- HR-afdeling: coördinatie en communicatie rondom het plan.</w:t>
      </w:r>
    </w:p>
    <w:p>
      <w:r>
        <w:rPr>
          <w:b w:val="0"/>
          <w:sz w:val="20"/>
        </w:rPr>
        <w:t>- Medewerkers: actieve deelname en naleving van afspraken.</w:t>
      </w:r>
    </w:p>
    <w:p/>
    <w:p>
      <w:r>
        <w:rPr>
          <w:b/>
          <w:sz w:val="24"/>
        </w:rPr>
        <w:t>6. Evaluatie en bijstelling</w:t>
      </w:r>
    </w:p>
    <w:p>
      <w:r>
        <w:rPr>
          <w:b w:val="0"/>
          <w:sz w:val="20"/>
        </w:rPr>
        <w:t>Het vitaliteitsplan wordt jaarlijks geëvalueerd op effectiviteit en relevantie. Op basis van de evaluatie worden waar nodig aanpassingen doorgevoerd om de doelstellingen optimaal te realiseren.</w:t>
      </w:r>
    </w:p>
    <w:p/>
    <w:p/>
    <w:p/>
    <w:p>
      <w:r>
        <w:rPr>
          <w:b/>
          <w:sz w:val="20"/>
        </w:rPr>
        <w:t>Ondertekend door: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Werkgever</w:t>
            </w:r>
          </w:p>
        </w:tc>
        <w:tc>
          <w:tcPr>
            <w:tcW w:type="dxa" w:w="4986"/>
            <w:tcBorders>
              <w:top w:val="nil"/>
              <w:left w:val="nil"/>
              <w:bottom w:val="nil"/>
              <w:right w:val="nil"/>
              <w:insideH w:val="nil"/>
              <w:insideV w:val="nil"/>
            </w:tcBorders>
          </w:tcPr>
          <w:p>
            <w:pPr>
              <w:jc w:val="center"/>
            </w:pPr>
            <w:r>
              <w:t>Werknemer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https://planvoorbeelden.com/vitaliteitsplan-voorbeeld/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vitaliteits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